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16"/>
      </w:pPr>
      <w:r>
        <w:t xml:space="preserve">Министерство молодежной политики и спорта Республики Башкортостан</w:t>
      </w:r>
    </w:p>
    <w:p>
      <w:pPr>
        <w:jc w:val="center"/>
        <w:pStyle w:val="16"/>
      </w:pPr>
      <w:r>
        <w:t xml:space="preserve">Башкирский государственный университет, кафедра социологии и работы с молодежью</w:t>
      </w:r>
    </w:p>
    <w:p>
      <w:pPr>
        <w:jc w:val="center"/>
        <w:pStyle w:val="16"/>
        <w:rPr>
          <w:rFonts w:hAnsi="Times New Roman" w:ascii="Times New Roman"/>
          <w:sz w:val="24"/>
          <w:b w:val="1"/>
          <w:shd w:fill="ffffff"/>
        </w:rPr>
      </w:pPr>
      <w:r>
        <w:rPr>
          <w:rFonts w:hAnsi="Times New Roman" w:ascii="Times New Roman"/>
          <w:sz w:val="24"/>
          <w:b w:val="1"/>
          <w:shd w:fill="ffffff"/>
        </w:rPr>
        <w:t xml:space="preserve">Санкт-Петербургский государственный университет, кафедра экономической социологии</w:t>
      </w:r>
    </w:p>
    <w:p>
      <w:pPr>
        <w:jc w:val="center"/>
        <w:pStyle w:val="16"/>
        <w:rPr>
          <w:sz w:val="28"/>
          <w:b w:val="1"/>
        </w:rPr>
      </w:pPr>
      <w:r>
        <w:rPr>
          <w:shd w:fill="ffffff"/>
        </w:rPr>
        <w:t xml:space="preserve">Евразийский национальный университет имени Л.Н.Гумилева, кафедра социологии</w:t>
      </w:r>
    </w:p>
    <w:p>
      <w:pPr>
        <w:jc w:val="center"/>
        <w:pStyle w:val="16"/>
      </w:pPr>
      <w:r>
        <w:t xml:space="preserve">Уфимский государственный нефтяной технический университет</w:t>
      </w:r>
    </w:p>
    <w:p>
      <w:pPr>
        <w:jc w:val="center"/>
        <w:pStyle w:val="16"/>
        <w:rPr>
          <w:sz w:val="28"/>
          <w:b w:val="1"/>
        </w:rPr>
      </w:pPr>
    </w:p>
    <w:p>
      <w:pPr>
        <w:jc w:val="center"/>
        <w:pStyle w:val="16"/>
        <w:rPr>
          <w:sz w:val="28"/>
          <w:b w:val="1"/>
        </w:rPr>
      </w:pPr>
      <w:r>
        <w:rPr>
          <w:sz w:val="28"/>
          <w:b w:val="1"/>
        </w:rPr>
        <w:t xml:space="preserve">Уважаемые коллеги!</w:t>
      </w:r>
    </w:p>
    <w:p>
      <w:pPr>
        <w:jc w:val="both"/>
        <w:pStyle w:val="16"/>
        <w:rPr>
          <w:sz w:val="28"/>
          <w:b w:val="1"/>
        </w:rPr>
      </w:pPr>
    </w:p>
    <w:p>
      <w:pPr>
        <w:jc w:val="both"/>
        <w:pStyle w:val="16"/>
        <w:rPr>
          <w:sz w:val="28"/>
          <w:b w:val="1"/>
          <w:i w:val="1"/>
        </w:rPr>
      </w:pPr>
      <w:r>
        <w:rPr>
          <w:sz w:val="28"/>
          <w:b w:val="1"/>
        </w:rPr>
        <w:t xml:space="preserve">      Приглашаем Вас принять участие в V Международной научно-практической конференции </w:t>
      </w:r>
      <w:r>
        <w:rPr>
          <w:sz w:val="32"/>
          <w:b w:val="1"/>
          <w:i w:val="1"/>
        </w:rPr>
        <w:t>«</w:t>
      </w:r>
      <w:r>
        <w:rPr>
          <w:sz w:val="28"/>
          <w:b w:val="1"/>
          <w:i w:val="1"/>
          <w:shd w:fill="ffffff"/>
        </w:rPr>
        <w:t xml:space="preserve">Семья как фактор физического и социального здоровья населения</w:t>
      </w:r>
      <w:r>
        <w:rPr>
          <w:sz w:val="28"/>
          <w:b w:val="1"/>
          <w:i w:val="1"/>
        </w:rPr>
        <w:t xml:space="preserve">» (V Гилязитдиновские чтения)  г.Уфа, 17-18 мая 2018 года</w:t>
      </w:r>
    </w:p>
    <w:p>
      <w:pPr>
        <w:jc w:val="both"/>
        <w:pStyle w:val="16"/>
        <w:rPr>
          <w:sz w:val="32"/>
          <w:b w:val="1"/>
          <w:i w:val="1"/>
        </w:rPr>
      </w:pPr>
    </w:p>
    <w:p>
      <w:pPr>
        <w:jc w:val="center"/>
        <w:pStyle w:val="16"/>
        <w:rPr>
          <w:sz w:val="28"/>
        </w:rPr>
      </w:pPr>
      <w:r>
        <w:rPr>
          <w:sz w:val="28"/>
          <w:b w:val="1"/>
        </w:rPr>
        <w:t xml:space="preserve">Основные направления работы конференции</w:t>
      </w:r>
      <w:r>
        <w:rPr>
          <w:sz w:val="28"/>
        </w:rPr>
        <w:t>:</w:t>
      </w:r>
    </w:p>
    <w:p>
      <w:pPr>
        <w:jc w:val="both"/>
        <w:ind w:right="567" w:firstLine="708"/>
        <w:pStyle w:val="0"/>
        <w:rPr>
          <w:sz w:val="28"/>
        </w:rPr>
      </w:pPr>
    </w:p>
    <w:p>
      <w:pPr>
        <w:jc w:val="both"/>
        <w:ind w:right="567" w:firstLine="708"/>
        <w:pStyle w:val="0"/>
        <w:rPr>
          <w:sz w:val="28"/>
        </w:rPr>
      </w:pPr>
      <w:r>
        <w:rPr>
          <w:sz w:val="28"/>
        </w:rPr>
        <w:t xml:space="preserve">В рамках конференции будет организована работа по следующим направлениям:</w:t>
      </w:r>
    </w:p>
    <w:p>
      <w:pPr>
        <w:jc w:val="both"/>
        <w:pStyle w:val="0"/>
        <w:shd w:fill="ffffff"/>
        <w:rPr>
          <w:sz w:val="28"/>
        </w:rPr>
      </w:pPr>
      <w:r>
        <w:rPr>
          <w:sz w:val="28"/>
          <w:color w:val="1d1d1d"/>
        </w:rPr>
        <w:t xml:space="preserve">- </w:t>
      </w:r>
      <w:r>
        <w:rPr>
          <w:sz w:val="28"/>
        </w:rPr>
        <w:t xml:space="preserve">Институт семьи как субъект первичной социализации индивида в сфере здоровья;</w:t>
      </w:r>
    </w:p>
    <w:p>
      <w:pPr>
        <w:jc w:val="both"/>
        <w:pStyle w:val="0"/>
        <w:shd w:fill="ffffff"/>
        <w:rPr>
          <w:sz w:val="28"/>
        </w:rPr>
      </w:pPr>
      <w:r>
        <w:rPr>
          <w:sz w:val="28"/>
        </w:rPr>
        <w:t xml:space="preserve">- Социальные аспекты здоровья и здорового образа жизни в семье. Роль </w:t>
      </w:r>
      <w:r>
        <w:rPr>
          <w:sz w:val="28"/>
          <w:shd w:fill="ffffff"/>
        </w:rPr>
        <w:t xml:space="preserve">государства в укреплении семьи: основные направления и механизмы реализации </w:t>
      </w:r>
    </w:p>
    <w:p>
      <w:pPr>
        <w:jc w:val="both"/>
        <w:pStyle w:val="0"/>
        <w:shd w:fill="ffffff"/>
        <w:rPr>
          <w:sz w:val="28"/>
          <w:color w:val="ff0000"/>
        </w:rPr>
      </w:pPr>
      <w:r>
        <w:rPr>
          <w:sz w:val="28"/>
        </w:rPr>
        <w:t xml:space="preserve">- Формирование здоровьесберегающей идеологии как фактор укрепления современной семьи</w:t>
      </w:r>
    </w:p>
    <w:p>
      <w:pPr>
        <w:pStyle w:val="2"/>
        <w:spacing w:before="0" w:after="0"/>
        <w:shd w:fill="ffffff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b w:val="1"/>
        </w:rPr>
        <w:t xml:space="preserve">Пути  формирования имиджа семьи,  как семьи здорового образа жизни: технологии и механизмы;</w:t>
      </w:r>
    </w:p>
    <w:p>
      <w:pPr>
        <w:jc w:val="both"/>
        <w:pStyle w:val="0"/>
        <w:shd w:fill="ffffff"/>
        <w:rPr>
          <w:sz w:val="28"/>
        </w:rPr>
      </w:pPr>
      <w:r>
        <w:rPr>
          <w:sz w:val="28"/>
        </w:rPr>
        <w:t xml:space="preserve">- Практики питания в семье: социология питания;</w:t>
      </w:r>
    </w:p>
    <w:p>
      <w:pPr>
        <w:jc w:val="both"/>
        <w:pStyle w:val="0"/>
        <w:shd w:fill="ffffff"/>
        <w:rPr>
          <w:sz w:val="28"/>
        </w:rPr>
      </w:pPr>
      <w:r>
        <w:rPr>
          <w:sz w:val="28"/>
        </w:rPr>
        <w:t xml:space="preserve">- Социология девиантного поведения в семье: профилактика и реабилитация;</w:t>
      </w:r>
    </w:p>
    <w:p>
      <w:pPr>
        <w:jc w:val="both"/>
        <w:pStyle w:val="0"/>
        <w:shd w:fill="ffffff"/>
        <w:rPr>
          <w:sz w:val="28"/>
        </w:rPr>
      </w:pPr>
      <w:r>
        <w:rPr>
          <w:sz w:val="28"/>
        </w:rPr>
        <w:t xml:space="preserve">- Телесно-физическая культура как ресурс социализации, самореализации и реабилитации личности;</w:t>
      </w:r>
    </w:p>
    <w:p>
      <w:pPr>
        <w:jc w:val="both"/>
        <w:pStyle w:val="0"/>
        <w:shd w:fill="ffffff"/>
        <w:rPr>
          <w:sz w:val="28"/>
          <w:color w:val="000000"/>
          <w:shd w:fill="ffffff"/>
        </w:rPr>
      </w:pPr>
      <w:r>
        <w:rPr>
          <w:sz w:val="28"/>
        </w:rPr>
        <w:t xml:space="preserve">- Проблема разработки дорожных карт</w:t>
      </w:r>
      <w:r>
        <w:rPr>
          <w:sz w:val="28"/>
          <w:color w:val="000000"/>
          <w:shd w:fill="ffffff"/>
        </w:rPr>
        <w:t xml:space="preserve"> (алгоритмов действий)  по сохранению здоровья и социального благополучия в семье</w:t>
      </w:r>
    </w:p>
    <w:p>
      <w:pPr>
        <w:jc w:val="both"/>
        <w:ind w:firstLine="708"/>
        <w:pStyle w:val="0"/>
        <w:rPr>
          <w:sz w:val="28"/>
          <w:color w:val="000000"/>
          <w:shd w:fill="ffffff"/>
        </w:rPr>
      </w:pPr>
      <w:r>
        <w:rPr>
          <w:sz w:val="28"/>
          <w:color w:val="000000"/>
          <w:shd w:fill="ffffff"/>
        </w:rPr>
        <w:t xml:space="preserve">К участию в работе конференции приглашаются преподаватели вузов, научные сотрудники, руководители государственных и муниципальных органов власти, общественных организаций, специалисты, работающие с подростками и молодежью, аспиранты, магистранты и студенты, обучающиеся по направлениям подготовки «Педагогическое образование», «Психология», «Социология», «Политология», «Реклама и связи с общественностью», «Организация работы с молодежью», «Социальная работа», «Философия», «История», «Журналистика». </w:t>
      </w:r>
    </w:p>
    <w:p>
      <w:pPr>
        <w:jc w:val="both"/>
        <w:ind w:firstLine="708"/>
        <w:pStyle w:val="0"/>
        <w:rPr>
          <w:sz w:val="28"/>
        </w:rPr>
      </w:pPr>
    </w:p>
    <w:p>
      <w:pPr>
        <w:jc w:val="both"/>
        <w:pStyle w:val="16"/>
        <w:rPr>
          <w:sz w:val="28"/>
        </w:rPr>
      </w:pPr>
      <w:r>
        <w:rPr>
          <w:sz w:val="28"/>
        </w:rPr>
        <w:t xml:space="preserve">Заявка (на русском языке) и статьи объемом от 3 до 8 страниц подаются на адрес электронной почты</w:t>
      </w:r>
      <w:hyperlink r:id="rId1">
        <w:r>
          <w:rPr>
            <w:sz w:val="28"/>
            <w:color w:val="0070c0"/>
            <w:u w:val="single"/>
            <w:shd w:fill="ffffff"/>
          </w:rPr>
          <w:t xml:space="preserve"> mejdcoskonf2018</w:t>
        </w:r>
      </w:hyperlink>
      <w:r>
        <w:rPr>
          <w:sz w:val="28"/>
          <w:color w:val="0070c0"/>
          <w:u w:val="single"/>
          <w:shd w:fill="ffffff"/>
        </w:rPr>
        <w:t>@mail.ru</w:t>
      </w:r>
      <w:r>
        <w:rPr>
          <w:sz w:val="28"/>
          <w:color w:val="0070c0"/>
          <w:shd w:fill="ffffff"/>
        </w:rPr>
        <w:t xml:space="preserve">  </w:t>
      </w:r>
      <w:r>
        <w:rPr>
          <w:sz w:val="28"/>
          <w:shd w:fill="ffffff"/>
        </w:rPr>
        <w:t>до</w:t>
      </w:r>
      <w:r>
        <w:rPr>
          <w:sz w:val="28"/>
        </w:rPr>
        <w:t xml:space="preserve"> 10</w:t>
      </w:r>
      <w:r>
        <w:rPr>
          <w:sz w:val="28"/>
        </w:rPr>
        <w:t xml:space="preserve"> мая 2018  года (в виде прикрепленного файла)</w:t>
      </w:r>
    </w:p>
    <w:p>
      <w:pPr>
        <w:jc w:val="both"/>
        <w:pStyle w:val="16"/>
        <w:rPr>
          <w:sz w:val="28"/>
          <w:shd w:fill="ffffff"/>
        </w:rPr>
      </w:pPr>
      <w:r>
        <w:rPr>
          <w:rFonts w:hAnsi="Arial" w:ascii="Arial"/>
          <w:sz w:val="22"/>
          <w:shd w:fill="ffffff"/>
        </w:rPr>
        <w:t> </w:t>
      </w:r>
      <w:r>
        <w:rPr>
          <w:sz w:val="28"/>
          <w:shd w:fill="ffffff"/>
        </w:rPr>
        <w:t xml:space="preserve">Организационный взнос не взимается. </w:t>
      </w:r>
    </w:p>
    <w:p>
      <w:pPr>
        <w:jc w:val="both"/>
        <w:pStyle w:val="16"/>
        <w:rPr>
          <w:sz w:val="28"/>
          <w:b w:val="1"/>
          <w:i w:val="1"/>
        </w:rPr>
      </w:pPr>
      <w:r>
        <w:rPr>
          <w:sz w:val="28"/>
        </w:rPr>
        <w:t xml:space="preserve">Сборник материалов конференции будет опубликован в электронном формате и </w:t>
      </w:r>
      <w:r>
        <w:rPr>
          <w:sz w:val="28"/>
          <w:shd w:fill="ffffff"/>
        </w:rPr>
        <w:t xml:space="preserve">размещен на официальном сайте Башкирского государственного университета.</w:t>
      </w:r>
      <w:r>
        <w:rPr>
          <w:sz w:val="28"/>
          <w:b w:val="1"/>
          <w:i w:val="1"/>
        </w:rPr>
        <w:t xml:space="preserve"> </w:t>
      </w:r>
    </w:p>
    <w:p>
      <w:pPr>
        <w:jc w:val="both"/>
        <w:pStyle w:val="16"/>
        <w:rPr>
          <w:sz w:val="28"/>
          <w:b w:val="1"/>
        </w:rPr>
      </w:pPr>
      <w:r>
        <w:rPr>
          <w:sz w:val="28"/>
          <w:b w:val="1"/>
        </w:rPr>
        <w:t xml:space="preserve">Сборник материалов конференции будет включен в базу данных РИНЦ.</w:t>
      </w:r>
      <w:r>
        <w:rPr>
          <w:sz w:val="28"/>
          <w:b w:val="1"/>
          <w:shd w:fill="ffffff"/>
        </w:rPr>
        <w:t> </w:t>
      </w:r>
    </w:p>
    <w:p>
      <w:pPr>
        <w:jc w:val="center"/>
        <w:pStyle w:val="16"/>
        <w:rPr>
          <w:sz w:val="28"/>
          <w:i w:val="1"/>
        </w:rPr>
      </w:pPr>
    </w:p>
    <w:p>
      <w:pPr>
        <w:jc w:val="center"/>
        <w:pStyle w:val="16"/>
        <w:rPr>
          <w:sz w:val="28"/>
        </w:rPr>
      </w:pPr>
      <w:r>
        <w:rPr>
          <w:sz w:val="28"/>
          <w:i w:val="1"/>
        </w:rPr>
        <w:t xml:space="preserve">Требования к оформлению статей</w:t>
      </w:r>
    </w:p>
    <w:p>
      <w:pPr>
        <w:jc w:val="both"/>
        <w:pStyle w:val="16"/>
        <w:rPr>
          <w:sz w:val="28"/>
        </w:rPr>
      </w:pPr>
    </w:p>
    <w:p>
      <w:pPr>
        <w:jc w:val="both"/>
        <w:pStyle w:val="16"/>
        <w:rPr>
          <w:sz w:val="28"/>
        </w:rPr>
      </w:pPr>
      <w:r>
        <w:rPr>
          <w:sz w:val="28"/>
        </w:rPr>
        <w:t xml:space="preserve"> -  объем – не более 8 страниц для преподавателей и аспирантов, не более 5 страниц для студентов и магистрантов</w:t>
      </w:r>
    </w:p>
    <w:p>
      <w:pPr>
        <w:jc w:val="both"/>
        <w:pStyle w:val="16"/>
        <w:rPr>
          <w:sz w:val="28"/>
        </w:rPr>
      </w:pPr>
      <w:r>
        <w:rPr>
          <w:sz w:val="28"/>
        </w:rPr>
        <w:t xml:space="preserve">-  текст – редактор MSWord, шрифт Nimes New Roman, кегль 14, интервал 1,5, абзац- 1,25 см, все поля -2 см.  </w:t>
      </w:r>
    </w:p>
    <w:p>
      <w:pPr>
        <w:jc w:val="center"/>
        <w:pStyle w:val="16"/>
        <w:rPr>
          <w:sz w:val="28"/>
          <w:i w:val="1"/>
        </w:rPr>
      </w:pPr>
    </w:p>
    <w:p>
      <w:pPr>
        <w:jc w:val="center"/>
        <w:pStyle w:val="16"/>
        <w:rPr>
          <w:sz w:val="28"/>
          <w:i w:val="1"/>
        </w:rPr>
      </w:pPr>
    </w:p>
    <w:p>
      <w:pPr>
        <w:jc w:val="center"/>
        <w:pStyle w:val="16"/>
        <w:rPr>
          <w:sz w:val="28"/>
          <w:i w:val="1"/>
        </w:rPr>
      </w:pPr>
      <w:r>
        <w:rPr>
          <w:sz w:val="28"/>
          <w:i w:val="1"/>
        </w:rPr>
        <w:t xml:space="preserve">Структура статьи и образец оформления</w:t>
      </w:r>
    </w:p>
    <w:p>
      <w:pPr>
        <w:jc w:val="center"/>
        <w:pStyle w:val="16"/>
        <w:rPr>
          <w:sz w:val="28"/>
        </w:rPr>
      </w:pPr>
    </w:p>
    <w:p>
      <w:pPr>
        <w:jc w:val="both"/>
        <w:pStyle w:val="16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Необходимо указать УДК в крайнем левом углу (универсальная </w:t>
        <w:br/>
        <w:t xml:space="preserve">     десятичная классификация). </w:t>
      </w:r>
      <w:r>
        <w:rPr>
          <w:sz w:val="28"/>
          <w:i w:val="1"/>
        </w:rPr>
        <w:t>Пример</w:t>
      </w:r>
      <w:r>
        <w:rPr>
          <w:sz w:val="28"/>
        </w:rPr>
        <w:t xml:space="preserve">: УДК 811.112.2 (информационно-справочная система по УДК (раздел 8) доступна по </w:t>
        <w:br/>
        <w:t xml:space="preserve">    ссылке http://www.naukapro.ru/osn_udk/filolog.htm) </w:t>
      </w:r>
    </w:p>
    <w:p>
      <w:pPr>
        <w:jc w:val="both"/>
        <w:pStyle w:val="16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Инициалы, фамилия (в скобках – должность, название вуза). </w:t>
      </w:r>
    </w:p>
    <w:p>
      <w:pPr>
        <w:jc w:val="both"/>
        <w:pStyle w:val="16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Название статьи </w:t>
      </w:r>
      <w:r>
        <w:rPr>
          <w:sz w:val="28"/>
          <w:b w:val="1"/>
        </w:rPr>
        <w:t>ПРОПИСНЫМИ</w:t>
      </w:r>
      <w:r>
        <w:rPr>
          <w:sz w:val="28"/>
        </w:rPr>
        <w:t xml:space="preserve">, полужирным шрифтом, по центру. </w:t>
      </w:r>
    </w:p>
    <w:p>
      <w:pPr>
        <w:jc w:val="both"/>
        <w:pStyle w:val="16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Текст работы.</w:t>
      </w:r>
    </w:p>
    <w:p>
      <w:pPr>
        <w:jc w:val="both"/>
        <w:pStyle w:val="16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Список литературы (по ГОСТ Р 7.0.5.-2008, озаглавить список </w:t>
      </w:r>
      <w:r>
        <w:rPr>
          <w:sz w:val="28"/>
          <w:b w:val="1"/>
        </w:rPr>
        <w:t>Литература</w:t>
      </w:r>
      <w:r>
        <w:rPr>
          <w:sz w:val="28"/>
        </w:rPr>
        <w:t xml:space="preserve">). Список литературы составляется в алфавитном порядке, нумеруется и включает полное библиографическое описание. Ссылки на цитируемые источники в квадратных скобках – номер  по списку и номер страницы. </w:t>
      </w:r>
      <w:r>
        <w:rPr>
          <w:sz w:val="28"/>
          <w:i w:val="1"/>
        </w:rPr>
        <w:t xml:space="preserve">Пример: </w:t>
      </w:r>
      <w:r>
        <w:rPr>
          <w:sz w:val="28"/>
        </w:rPr>
        <w:t xml:space="preserve">[1, 116]. </w:t>
      </w:r>
    </w:p>
    <w:p>
      <w:pPr>
        <w:jc w:val="both"/>
        <w:pStyle w:val="16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 конце статьи указать авторское право (размер – 9 пт). </w:t>
      </w:r>
      <w:r>
        <w:rPr>
          <w:sz w:val="28"/>
          <w:i w:val="1"/>
        </w:rPr>
        <w:t>Пример</w:t>
      </w:r>
      <w:r>
        <w:rPr>
          <w:sz w:val="28"/>
        </w:rPr>
        <w:t xml:space="preserve">:                                                                               © И.И.Иванов, 2015 </w:t>
      </w:r>
    </w:p>
    <w:p>
      <w:pPr>
        <w:jc w:val="both"/>
        <w:pStyle w:val="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Информацию об авторе указывать в отдельном файле-заявке.</w:t>
      </w: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Заявка для участия в конференции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tblInd w:type="dxa" w:w="-113"/>
      </w:tblPr>
      <w:tblGrid>
        <w:gridCol w:w="4856"/>
        <w:gridCol w:w="4867"/>
      </w:tblGrid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dxa" w:w="4856"/>
          </w:tcPr>
          <w:p>
            <w:pPr>
              <w:jc w:val="both"/>
              <w:ind w:left="720"/>
              <w:pStyle w:val="0"/>
              <w:rPr>
                <w:b w:val="1"/>
              </w:rPr>
            </w:pPr>
            <w:r>
              <w:t xml:space="preserve">Ф.И.О. (полностью) </w:t>
            </w:r>
          </w:p>
          <w:p>
            <w:pPr>
              <w:jc w:val="both"/>
              <w:pStyle w:val="0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4867"/>
          </w:tcPr>
          <w:p>
            <w:pPr>
              <w:jc w:val="both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dxa" w:w="4856"/>
          </w:tcPr>
          <w:p>
            <w:pPr>
              <w:jc w:val="both"/>
              <w:ind w:left="720"/>
              <w:pStyle w:val="0"/>
              <w:rPr>
                <w:b w:val="1"/>
              </w:rPr>
            </w:pPr>
            <w:r>
              <w:t xml:space="preserve">Тема статьи</w:t>
            </w:r>
          </w:p>
          <w:p>
            <w:pPr>
              <w:jc w:val="both"/>
              <w:pStyle w:val="0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4867"/>
          </w:tcPr>
          <w:p>
            <w:pPr>
              <w:jc w:val="both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dxa" w:w="4856"/>
          </w:tcPr>
          <w:p>
            <w:pPr>
              <w:jc w:val="both"/>
              <w:ind w:left="720"/>
              <w:pStyle w:val="0"/>
              <w:rPr>
                <w:b w:val="1"/>
              </w:rPr>
            </w:pPr>
            <w:r>
              <w:t xml:space="preserve">Место работы или учебы </w:t>
            </w:r>
          </w:p>
          <w:p>
            <w:pPr>
              <w:jc w:val="both"/>
              <w:pStyle w:val="0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4867"/>
          </w:tcPr>
          <w:p>
            <w:pPr>
              <w:jc w:val="both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dxa" w:w="4856"/>
          </w:tcPr>
          <w:p>
            <w:pPr>
              <w:jc w:val="both"/>
              <w:ind w:left="720"/>
              <w:pStyle w:val="0"/>
              <w:rPr>
                <w:b w:val="1"/>
              </w:rPr>
            </w:pPr>
            <w:r>
              <w:t xml:space="preserve">Должность </w:t>
            </w:r>
          </w:p>
          <w:p>
            <w:pPr>
              <w:jc w:val="both"/>
              <w:pStyle w:val="0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4867"/>
          </w:tcPr>
          <w:p>
            <w:pPr>
              <w:jc w:val="both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dxa" w:w="4856"/>
          </w:tcPr>
          <w:p>
            <w:pPr>
              <w:jc w:val="both"/>
              <w:ind w:left="720"/>
              <w:pStyle w:val="0"/>
              <w:rPr>
                <w:b w:val="1"/>
              </w:rPr>
            </w:pPr>
            <w:r>
              <w:t xml:space="preserve">Ученая степень </w:t>
            </w:r>
          </w:p>
          <w:p>
            <w:pPr>
              <w:jc w:val="both"/>
              <w:pStyle w:val="0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4867"/>
          </w:tcPr>
          <w:p>
            <w:pPr>
              <w:jc w:val="both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dxa" w:w="4856"/>
          </w:tcPr>
          <w:p>
            <w:pPr>
              <w:jc w:val="both"/>
              <w:ind w:left="720"/>
              <w:pStyle w:val="0"/>
              <w:rPr>
                <w:b w:val="1"/>
              </w:rPr>
            </w:pPr>
            <w:r>
              <w:t xml:space="preserve">Ученое звание </w:t>
            </w:r>
          </w:p>
          <w:p>
            <w:pPr>
              <w:jc w:val="both"/>
              <w:pStyle w:val="0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4867"/>
          </w:tcPr>
          <w:p>
            <w:pPr>
              <w:jc w:val="both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dxa" w:w="4856"/>
          </w:tcPr>
          <w:p>
            <w:pPr>
              <w:jc w:val="both"/>
              <w:pStyle w:val="0"/>
              <w:rPr>
                <w:b w:val="1"/>
              </w:rPr>
            </w:pPr>
            <w:r>
              <w:t xml:space="preserve">            Почтовый адрес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4867"/>
          </w:tcPr>
          <w:p>
            <w:pPr>
              <w:jc w:val="both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dxa" w:w="4856"/>
          </w:tcPr>
          <w:p>
            <w:pPr>
              <w:jc w:val="both"/>
              <w:ind w:left="720"/>
              <w:pStyle w:val="0"/>
              <w:rPr>
                <w:b w:val="1"/>
              </w:rPr>
            </w:pPr>
            <w:r>
              <w:t xml:space="preserve">E-mail </w:t>
            </w:r>
          </w:p>
          <w:p>
            <w:pPr>
              <w:jc w:val="both"/>
              <w:pStyle w:val="0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4867"/>
          </w:tcPr>
          <w:p>
            <w:pPr>
              <w:jc w:val="both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dxa" w:w="4856"/>
          </w:tcPr>
          <w:p>
            <w:pPr>
              <w:jc w:val="both"/>
              <w:ind w:left="720"/>
              <w:pStyle w:val="0"/>
              <w:rPr>
                <w:b w:val="1"/>
              </w:rPr>
            </w:pPr>
            <w:r>
              <w:t xml:space="preserve">Контактный телефон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4867"/>
          </w:tcPr>
          <w:p>
            <w:pPr>
              <w:jc w:val="both"/>
              <w:pStyle w:val="0"/>
              <w:rPr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dxa" w:w="4856"/>
          </w:tcPr>
          <w:p>
            <w:pPr>
              <w:jc w:val="both"/>
              <w:ind w:left="720"/>
              <w:pStyle w:val="0"/>
            </w:pPr>
            <w:r>
              <w:t xml:space="preserve">Участие очное, очное с докладом или заочное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4867"/>
          </w:tcPr>
          <w:p>
            <w:pPr>
              <w:jc w:val="both"/>
              <w:pStyle w:val="0"/>
              <w:rPr>
                <w:b w:val="1"/>
              </w:rPr>
            </w:pPr>
          </w:p>
        </w:tc>
      </w:tr>
    </w:tbl>
    <w:p>
      <w:pPr>
        <w:jc w:val="both"/>
        <w:pStyle w:val="0"/>
        <w:rPr>
          <w:sz w:val="28"/>
        </w:rPr>
      </w:pPr>
      <w:r>
        <w:rPr>
          <w:sz w:val="28"/>
          <w:b w:val="1"/>
        </w:rPr>
        <w:t>Внимание:</w:t>
      </w:r>
      <w:r>
        <w:rPr>
          <w:sz w:val="28"/>
        </w:rPr>
        <w:t xml:space="preserve">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В случае </w:t>
      </w:r>
      <w:r>
        <w:rPr>
          <w:sz w:val="28"/>
          <w:color w:val="000000"/>
          <w:shd w:fill="ffffff"/>
        </w:rPr>
        <w:t xml:space="preserve">несоответствия тематике, некорректных заимствований, за ненаучный стиль изложения статей и </w:t>
      </w:r>
      <w:r>
        <w:rPr>
          <w:sz w:val="28"/>
        </w:rPr>
        <w:t xml:space="preserve">не соответствующие установленным требованиям,  оргкомитет конференции оставляет за собой право отклонить материалы. </w:t>
      </w:r>
    </w:p>
    <w:p>
      <w:pPr>
        <w:jc w:val="both"/>
        <w:pStyle w:val="0"/>
        <w:rPr>
          <w:sz w:val="28"/>
          <w:b w:val="1"/>
        </w:rPr>
      </w:pPr>
    </w:p>
    <w:p>
      <w:pPr>
        <w:jc w:val="center"/>
        <w:ind w:firstLine="708"/>
        <w:pStyle w:val="0"/>
        <w:rPr>
          <w:sz w:val="32"/>
        </w:rPr>
      </w:pPr>
      <w:r>
        <w:rPr>
          <w:sz w:val="32"/>
          <w:b w:val="1"/>
          <w:i w:val="1"/>
          <w:color w:val="000000"/>
          <w:shd w:fill="ffffff"/>
        </w:rPr>
        <w:t xml:space="preserve">Организационный взнос за участие в конференции и публикацию статей не взимается.</w:t>
      </w:r>
    </w:p>
    <w:p>
      <w:pPr>
        <w:jc w:val="center"/>
        <w:pStyle w:val="16"/>
        <w:rPr>
          <w:sz w:val="28"/>
          <w:b w:val="1"/>
        </w:rPr>
      </w:pPr>
    </w:p>
    <w:p>
      <w:pPr>
        <w:jc w:val="center"/>
        <w:pStyle w:val="16"/>
        <w:rPr>
          <w:sz w:val="28"/>
          <w:b w:val="1"/>
        </w:rPr>
      </w:pPr>
      <w:r>
        <w:rPr>
          <w:sz w:val="28"/>
          <w:b w:val="1"/>
        </w:rPr>
        <w:t xml:space="preserve">Сборник материалов конференции будет включен в базу данных РИНЦ.</w:t>
      </w:r>
    </w:p>
    <w:p>
      <w:pPr>
        <w:jc w:val="center"/>
        <w:pStyle w:val="0"/>
        <w:rPr>
          <w:sz w:val="28"/>
          <w:b w:val="1"/>
        </w:rPr>
      </w:pPr>
    </w:p>
    <w:sectPr>
      <w:pgSz w:w="11906" w:h="16838"/>
      <w:pgMar w:top="1134" w:bottom="1134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rPr>
      <w:sz w:val="24"/>
    </w:rPr>
  </w:style>
  <w:style w:styleId="3" w:type="paragraph">
    <w:name w:val="Заголовок 3"/>
    <w:pPr>
      <w:spacing w:before="240" w:after="60"/>
    </w:pPr>
    <w:rPr>
      <w:rFonts w:hAnsi="Cambria" w:ascii="Cambria"/>
      <w:sz w:val="26"/>
      <w:b w:val="1"/>
    </w:rPr>
  </w:style>
  <w:style w:styleId="2" w:type="paragraph">
    <w:name w:val="Заголовок 2"/>
    <w:pPr>
      <w:spacing w:before="100" w:after="100"/>
    </w:pPr>
    <w:rPr>
      <w:sz w:val="36"/>
      <w:b w:val="1"/>
    </w:rPr>
  </w:style>
  <w:style w:styleId="16" w:type="paragraph">
    <w:name w:val="Default"/>
    <w:rPr>
      <w:sz w:val="24"/>
      <w:color w:val="000000"/>
    </w:rPr>
  </w:style>
</w:styles>
</file>

<file path=word/_rels/document.xml.rels><?xml version='1.0' encoding='utf-8' standalone='yes'?>
<Relationships xmlns="http://schemas.openxmlformats.org/package/2006/relationships"><Relationship TargetMode="External" Type="http://schemas.openxmlformats.org/officeDocument/2006/relationships/hyperlink" Id="rId1" Target="mailto: BSU-ORM@yandex.ru"/><Relationship Id="rId2" Target="numbering.xml" Type="http://schemas.openxmlformats.org/officeDocument/2006/relationships/numbering"/><Relationship Id="rId3" Target="settings.xml" Type="http://schemas.openxmlformats.org/officeDocument/2006/relationships/settings"/><Relationship Id="rId4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информ письмо (копия 1).docx</dc:title>
</cp:coreProperties>
</file>