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A" w:rsidRPr="006C1ADC" w:rsidRDefault="006C1ADC" w:rsidP="006C1AD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ADC">
        <w:rPr>
          <w:rFonts w:ascii="Times New Roman" w:hAnsi="Times New Roman" w:cs="Times New Roman"/>
          <w:b/>
          <w:sz w:val="30"/>
          <w:szCs w:val="30"/>
        </w:rPr>
        <w:t>Теоретические вопросы для пересдачи экзамена по дисциплине</w:t>
      </w:r>
    </w:p>
    <w:p w:rsidR="006C1ADC" w:rsidRDefault="006C1ADC" w:rsidP="006C1A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ADC">
        <w:rPr>
          <w:rFonts w:ascii="Times New Roman" w:hAnsi="Times New Roman" w:cs="Times New Roman"/>
          <w:b/>
          <w:sz w:val="30"/>
          <w:szCs w:val="30"/>
        </w:rPr>
        <w:t>«Спецглавы математики»</w:t>
      </w:r>
    </w:p>
    <w:p w:rsidR="006C1ADC" w:rsidRDefault="006C1ADC" w:rsidP="006C1A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1ADC" w:rsidRPr="006C1ADC" w:rsidRDefault="006C1ADC" w:rsidP="006C1ADC">
      <w:pPr>
        <w:pStyle w:val="a3"/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>Понятие числового ряда и суммы ряда.</w:t>
      </w:r>
    </w:p>
    <w:p w:rsidR="006C1ADC" w:rsidRPr="006C1ADC" w:rsidRDefault="006C1ADC" w:rsidP="006C1ADC">
      <w:pPr>
        <w:pStyle w:val="a3"/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>Ряд Дирихле и его сходимость.</w:t>
      </w:r>
    </w:p>
    <w:p w:rsidR="006C1ADC" w:rsidRPr="006C1ADC" w:rsidRDefault="006C1ADC" w:rsidP="006C1ADC">
      <w:pPr>
        <w:pStyle w:val="a3"/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>Необходимое условие сходимости числового ряда.</w:t>
      </w:r>
    </w:p>
    <w:p w:rsidR="006C1ADC" w:rsidRPr="006C1ADC" w:rsidRDefault="006C1ADC" w:rsidP="006C1ADC">
      <w:pPr>
        <w:pStyle w:val="a3"/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>Признак сходимости Даламбера.</w:t>
      </w:r>
    </w:p>
    <w:p w:rsidR="006C1ADC" w:rsidRPr="006C1ADC" w:rsidRDefault="006C1ADC" w:rsidP="006C1ADC">
      <w:pPr>
        <w:pStyle w:val="a3"/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>Понятие функционального и степенного ряда.</w:t>
      </w:r>
    </w:p>
    <w:p w:rsidR="006C1ADC" w:rsidRPr="006C1ADC" w:rsidRDefault="006C1ADC" w:rsidP="006C1ADC">
      <w:pPr>
        <w:pStyle w:val="a3"/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>Разложение функций в степенные ряды. Ряды Тейлора и Маклорена.</w:t>
      </w:r>
    </w:p>
    <w:p w:rsidR="006C1ADC" w:rsidRPr="006C1ADC" w:rsidRDefault="006C1ADC" w:rsidP="006C1ADC">
      <w:pPr>
        <w:pStyle w:val="a3"/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>Комплексные числа. Алгебраическая, тригонометрическая и экспоненциальная формы записи.</w:t>
      </w:r>
    </w:p>
    <w:p w:rsidR="006C1ADC" w:rsidRPr="006C1ADC" w:rsidRDefault="006C1ADC" w:rsidP="006C1ADC">
      <w:pPr>
        <w:pStyle w:val="a3"/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 xml:space="preserve">Понятие функции </w:t>
      </w:r>
      <w:proofErr w:type="gramStart"/>
      <w:r w:rsidRPr="006C1ADC">
        <w:rPr>
          <w:rFonts w:ascii="Times New Roman" w:hAnsi="Times New Roman" w:cs="Times New Roman"/>
          <w:sz w:val="30"/>
          <w:szCs w:val="30"/>
        </w:rPr>
        <w:t>комплексного</w:t>
      </w:r>
      <w:proofErr w:type="gramEnd"/>
      <w:r w:rsidRPr="006C1ADC">
        <w:rPr>
          <w:rFonts w:ascii="Times New Roman" w:hAnsi="Times New Roman" w:cs="Times New Roman"/>
          <w:sz w:val="30"/>
          <w:szCs w:val="30"/>
        </w:rPr>
        <w:t xml:space="preserve"> переменного, действительная и мнимая части функции</w:t>
      </w:r>
      <w:r w:rsidRPr="006C1ADC">
        <w:rPr>
          <w:rFonts w:ascii="Times New Roman" w:hAnsi="Times New Roman" w:cs="Times New Roman"/>
          <w:sz w:val="30"/>
          <w:szCs w:val="30"/>
        </w:rPr>
        <w:t>.</w:t>
      </w:r>
    </w:p>
    <w:p w:rsidR="006C1ADC" w:rsidRPr="006C1ADC" w:rsidRDefault="006C1ADC" w:rsidP="006C1ADC">
      <w:pPr>
        <w:pStyle w:val="a3"/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 xml:space="preserve">Производная функции </w:t>
      </w:r>
      <w:proofErr w:type="gramStart"/>
      <w:r w:rsidRPr="006C1ADC">
        <w:rPr>
          <w:rFonts w:ascii="Times New Roman" w:hAnsi="Times New Roman" w:cs="Times New Roman"/>
          <w:sz w:val="30"/>
          <w:szCs w:val="30"/>
        </w:rPr>
        <w:t>комплексного</w:t>
      </w:r>
      <w:proofErr w:type="gramEnd"/>
      <w:r w:rsidRPr="006C1ADC">
        <w:rPr>
          <w:rFonts w:ascii="Times New Roman" w:hAnsi="Times New Roman" w:cs="Times New Roman"/>
          <w:sz w:val="30"/>
          <w:szCs w:val="30"/>
        </w:rPr>
        <w:t xml:space="preserve"> переменного. Условия Коши-Римана.</w:t>
      </w:r>
    </w:p>
    <w:p w:rsidR="006C1ADC" w:rsidRPr="006C1ADC" w:rsidRDefault="006C1ADC" w:rsidP="006C1ADC">
      <w:pPr>
        <w:pStyle w:val="a3"/>
        <w:numPr>
          <w:ilvl w:val="0"/>
          <w:numId w:val="1"/>
        </w:numPr>
        <w:tabs>
          <w:tab w:val="left" w:pos="851"/>
        </w:tabs>
        <w:spacing w:after="120" w:line="36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>Операции над высказываниями. Таблицы истинности.</w:t>
      </w:r>
    </w:p>
    <w:p w:rsidR="006C1ADC" w:rsidRPr="006C1ADC" w:rsidRDefault="006C1ADC" w:rsidP="006C1ADC">
      <w:pPr>
        <w:pStyle w:val="a3"/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 w:rsidRPr="006C1ADC">
        <w:rPr>
          <w:rFonts w:ascii="Times New Roman" w:hAnsi="Times New Roman" w:cs="Times New Roman"/>
          <w:sz w:val="30"/>
          <w:szCs w:val="30"/>
        </w:rPr>
        <w:t xml:space="preserve">Понятие графа. Неориентированные и ориентированные графы и способы их задания. Матрица смежности и матрица инцидентности. </w:t>
      </w:r>
      <w:bookmarkStart w:id="0" w:name="_GoBack"/>
      <w:bookmarkEnd w:id="0"/>
    </w:p>
    <w:p w:rsidR="006C1ADC" w:rsidRPr="006C1ADC" w:rsidRDefault="006C1A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C1ADC" w:rsidRPr="006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7404"/>
    <w:multiLevelType w:val="hybridMultilevel"/>
    <w:tmpl w:val="93301CA8"/>
    <w:lvl w:ilvl="0" w:tplc="CAF22B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DC"/>
    <w:rsid w:val="006C1ADC"/>
    <w:rsid w:val="00F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>Home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2</cp:revision>
  <dcterms:created xsi:type="dcterms:W3CDTF">2017-01-10T18:28:00Z</dcterms:created>
  <dcterms:modified xsi:type="dcterms:W3CDTF">2017-01-10T18:35:00Z</dcterms:modified>
</cp:coreProperties>
</file>