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A8" w:rsidRDefault="001F46A8" w:rsidP="001F46A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Темы НИР</w:t>
      </w:r>
    </w:p>
    <w:p w:rsidR="001F46A8" w:rsidRDefault="001F46A8" w:rsidP="001F46A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 направлению подготовки экономика «Международная экономика и бизнес»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1.Масштабы и динамика иностранного инвестирования в мировой экономике.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2. Влияние процессов иностранного инвестирования в экономику стран-инвесторов.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3. Динамика развития иностранных инвестиций в странах с переходной экономикой.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4. Инвестиционный климат в России и проблемы его улучшения.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5. Сравнительный анализ инвестиционного климата в России и странах мира.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6. Особенности государственной политики по привлечению иностранных инвестиций  в различных странах.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7. Социальные, экономические и политические последствия привлечения иностранных инвестиций в экономику развивающихся стран.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8.  Политика стимулирования экспорта: мировая и российская практика.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9. Факторы и основные тенденции развития международного туризма.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10. Сравнительный анализ географических </w:t>
      </w:r>
      <w:proofErr w:type="gramStart"/>
      <w:r>
        <w:t>потоках</w:t>
      </w:r>
      <w:proofErr w:type="gramEnd"/>
      <w:r>
        <w:t xml:space="preserve"> внешней торговли России.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11.  Иностранные инвестиции и их регулирование в экономике развивающихся стран.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12.  Сравнительные позиции в современной мировой экономике крупнейших ТНК мира: и особенности конкурентной борьбы в 1990-е гг. и в начале ХХI </w:t>
      </w:r>
      <w:proofErr w:type="gramStart"/>
      <w:r>
        <w:t>в</w:t>
      </w:r>
      <w:proofErr w:type="gramEnd"/>
      <w:r>
        <w:t xml:space="preserve">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>13.  Формы интернационализации хозяйственной жизни и международная экономическая интеграция на современном этапе.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14. Процессы международной экономической интеграции в развитых странах  и их развитие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15.  Россия с позиции  международной экономической организации.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16.  Особенности интеграционных процессов в различных регионах мира.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17.  Интеграция развивающихся стран на современном этапе.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18. Типы, методы и инструменты торговой политики в мировой экономике.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19. Внешнеторговая политика (по странам).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20. Международное движение капитала.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>1. Географическая и товарная структура международной торговли.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22. Тенденция развития государственного и межгосударственного движения капитала.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23. Развитие иностранных инвестиций в России и их регулирование.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24.  Кризис внешней и внутренней задолженности России  и пути  регулирования.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25.  Международные валютно-кредитные отношения.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26.Этапы развития мировой валютной системы.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>27. Развитие международных валютн</w:t>
      </w:r>
      <w:proofErr w:type="gramStart"/>
      <w:r>
        <w:t>о-</w:t>
      </w:r>
      <w:proofErr w:type="gramEnd"/>
      <w:r>
        <w:t xml:space="preserve"> кредитных отношений.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28. Международная трудовая миграция и ее регулирование.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29. Интеграционные процессы в мировой экономике.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30. Россия в системе международных  экономических отношениях.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31. Государственное регулирование внешнеэкономических связей на примере отдельных стран.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32.  Теория сравнительных преимуществ и современные тенденции международной торговли.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33.  Современные теории международной торговли.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>34. Экспорт и импорт в различных группах стран: современные тенденции.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35. Развитие внешнеэкономических связей России с промышленно развитыми странами.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36. Экономические связи России со странами Центральной Восточной Европы.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37. Экономические связи России со странами СНГ.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38. Экспортная специализация и импортная зависимость России и факторы, влияющие на экономическую безопасность.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39. Экспортная и импортная стратегия национального хозяйства (на примере отдельных стран).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  <w:r>
        <w:t xml:space="preserve">40. Экспортная специализация России и перспективы совершенствования. </w:t>
      </w:r>
    </w:p>
    <w:p w:rsidR="001F46A8" w:rsidRDefault="001F46A8" w:rsidP="001F46A8">
      <w:pPr>
        <w:pStyle w:val="a3"/>
        <w:spacing w:before="0" w:beforeAutospacing="0" w:after="0" w:afterAutospacing="0"/>
        <w:jc w:val="both"/>
      </w:pPr>
    </w:p>
    <w:p w:rsidR="00FE5EED" w:rsidRDefault="00FE5EED">
      <w:bookmarkStart w:id="0" w:name="_GoBack"/>
      <w:bookmarkEnd w:id="0"/>
    </w:p>
    <w:sectPr w:rsidR="00FE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A8"/>
    <w:rsid w:val="001F46A8"/>
    <w:rsid w:val="00390594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6A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6A8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и Таня</dc:creator>
  <cp:lastModifiedBy>Валера и Таня</cp:lastModifiedBy>
  <cp:revision>1</cp:revision>
  <dcterms:created xsi:type="dcterms:W3CDTF">2017-10-16T20:16:00Z</dcterms:created>
  <dcterms:modified xsi:type="dcterms:W3CDTF">2017-10-16T20:16:00Z</dcterms:modified>
</cp:coreProperties>
</file>